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61685F">
      <w:pPr>
        <w:jc w:val="center"/>
        <w:rPr>
          <w:rStyle w:val="9"/>
          <w:rFonts w:ascii="微软雅黑" w:hAnsi="微软雅黑" w:eastAsia="微软雅黑"/>
          <w:color w:val="333333"/>
          <w:sz w:val="38"/>
          <w:szCs w:val="38"/>
        </w:rPr>
      </w:pPr>
      <w:r>
        <w:rPr>
          <w:rStyle w:val="9"/>
          <w:rFonts w:ascii="微软雅黑" w:hAnsi="微软雅黑" w:eastAsia="微软雅黑"/>
          <w:color w:val="333333"/>
          <w:sz w:val="38"/>
          <w:szCs w:val="38"/>
        </w:rPr>
        <w:t xml:space="preserve">Suspected </w:t>
      </w:r>
      <w:r>
        <w:rPr>
          <w:rStyle w:val="9"/>
          <w:rFonts w:hint="eastAsia" w:ascii="微软雅黑" w:hAnsi="微软雅黑" w:eastAsia="微软雅黑"/>
          <w:color w:val="333333"/>
          <w:sz w:val="38"/>
          <w:szCs w:val="38"/>
        </w:rPr>
        <w:t xml:space="preserve">Vulnerability Reporting </w:t>
      </w:r>
      <w:r>
        <w:rPr>
          <w:rStyle w:val="9"/>
          <w:rFonts w:ascii="微软雅黑" w:hAnsi="微软雅黑" w:eastAsia="微软雅黑"/>
          <w:color w:val="333333"/>
          <w:sz w:val="38"/>
          <w:szCs w:val="38"/>
        </w:rPr>
        <w:t xml:space="preserve">Template </w:t>
      </w:r>
      <w:r>
        <w:rPr>
          <w:rStyle w:val="9"/>
          <w:rFonts w:hint="eastAsia" w:ascii="微软雅黑" w:hAnsi="微软雅黑" w:eastAsia="微软雅黑"/>
          <w:color w:val="333333"/>
          <w:sz w:val="38"/>
          <w:szCs w:val="38"/>
        </w:rPr>
        <w:t>v1.0</w:t>
      </w:r>
    </w:p>
    <w:p w14:paraId="310A8B1F">
      <w:pPr>
        <w:spacing w:before="240" w:after="64" w:line="312" w:lineRule="atLeast"/>
        <w:outlineLvl w:val="5"/>
        <w:rPr>
          <w:b/>
        </w:rPr>
      </w:pPr>
      <w:r>
        <w:rPr>
          <w:rFonts w:hint="eastAsia"/>
          <w:b/>
        </w:rPr>
        <w:t xml:space="preserve">Thank you for reporting the suspected security vulnerability in </w:t>
      </w:r>
      <w:r>
        <w:rPr>
          <w:rFonts w:hint="eastAsia"/>
          <w:b/>
          <w:lang w:eastAsia="zh-CN"/>
        </w:rPr>
        <w:t xml:space="preserve">MAXHUB </w:t>
      </w:r>
      <w:r>
        <w:rPr>
          <w:rFonts w:hint="eastAsia"/>
          <w:b/>
        </w:rPr>
        <w:t>products and solutions. This template is designed to facilitate the verification and location of suspected security vulnerabilities.</w:t>
      </w:r>
      <w:bookmarkStart w:id="0" w:name="_GoBack"/>
      <w:bookmarkEnd w:id="0"/>
    </w:p>
    <w:tbl>
      <w:tblPr>
        <w:tblStyle w:val="7"/>
        <w:tblW w:w="84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190"/>
        <w:gridCol w:w="1491"/>
        <w:gridCol w:w="4814"/>
      </w:tblGrid>
      <w:tr w14:paraId="5129B1E6">
        <w:trPr>
          <w:trHeight w:val="351" w:hRule="atLeast"/>
        </w:trPr>
        <w:tc>
          <w:tcPr>
            <w:tcW w:w="8495" w:type="dxa"/>
            <w:gridSpan w:val="3"/>
            <w:shd w:val="clear" w:color="auto" w:fill="F1F1F1"/>
            <w:noWrap w:val="0"/>
            <w:tcMar>
              <w:top w:w="0" w:type="dxa"/>
              <w:left w:w="108" w:type="dxa"/>
              <w:bottom w:w="0" w:type="dxa"/>
              <w:right w:w="108" w:type="dxa"/>
            </w:tcMar>
            <w:vAlign w:val="top"/>
          </w:tcPr>
          <w:p w14:paraId="7DDDE797">
            <w:pPr>
              <w:jc w:val="left"/>
              <w:rPr>
                <w:rFonts w:ascii="宋体" w:hAnsi="宋体"/>
                <w:b/>
              </w:rPr>
            </w:pPr>
            <w:r>
              <w:rPr>
                <w:rFonts w:hint="eastAsia"/>
                <w:b/>
              </w:rPr>
              <w:t xml:space="preserve">1. Personal or </w:t>
            </w:r>
            <w:r>
              <w:rPr>
                <w:b/>
              </w:rPr>
              <w:t>organizational information</w:t>
            </w:r>
          </w:p>
        </w:tc>
      </w:tr>
      <w:tr w14:paraId="21EFC82A">
        <w:trPr>
          <w:trHeight w:val="351" w:hRule="atLeast"/>
        </w:trPr>
        <w:tc>
          <w:tcPr>
            <w:tcW w:w="3681" w:type="dxa"/>
            <w:gridSpan w:val="2"/>
            <w:shd w:val="clear" w:color="auto" w:fill="F1F1F1"/>
            <w:noWrap w:val="0"/>
            <w:tcMar>
              <w:top w:w="0" w:type="dxa"/>
              <w:left w:w="108" w:type="dxa"/>
              <w:bottom w:w="0" w:type="dxa"/>
              <w:right w:w="108" w:type="dxa"/>
            </w:tcMar>
            <w:vAlign w:val="top"/>
          </w:tcPr>
          <w:p w14:paraId="70BB419B">
            <w:pPr>
              <w:jc w:val="center"/>
              <w:rPr>
                <w:rFonts w:hint="default" w:ascii="Arial Regular" w:hAnsi="Arial Regular" w:cs="Arial Regular"/>
                <w:b w:val="0"/>
              </w:rPr>
            </w:pPr>
            <w:r>
              <w:rPr>
                <w:rFonts w:hint="default" w:ascii="Arial Regular" w:hAnsi="Arial Regular" w:cs="Arial Regular"/>
                <w:b w:val="0"/>
              </w:rPr>
              <w:t>Name (optional )</w:t>
            </w:r>
          </w:p>
        </w:tc>
        <w:tc>
          <w:tcPr>
            <w:tcW w:w="4814" w:type="dxa"/>
            <w:shd w:val="clear" w:color="auto" w:fill="F1F1F1"/>
            <w:noWrap w:val="0"/>
            <w:vAlign w:val="top"/>
          </w:tcPr>
          <w:p w14:paraId="07438E75">
            <w:pPr>
              <w:jc w:val="center"/>
              <w:rPr>
                <w:rFonts w:hint="default" w:ascii="Arial Regular" w:hAnsi="Arial Regular" w:cs="Arial Regular"/>
                <w:b w:val="0"/>
              </w:rPr>
            </w:pPr>
            <w:r>
              <w:rPr>
                <w:rFonts w:hint="default" w:ascii="Arial Regular" w:hAnsi="Arial Regular" w:cs="Arial Regular"/>
                <w:b w:val="0"/>
              </w:rPr>
              <w:t>Contact information (required )</w:t>
            </w:r>
          </w:p>
        </w:tc>
      </w:tr>
      <w:tr w14:paraId="50F4F535">
        <w:trPr>
          <w:trHeight w:val="670" w:hRule="atLeast"/>
        </w:trPr>
        <w:tc>
          <w:tcPr>
            <w:tcW w:w="3681" w:type="dxa"/>
            <w:gridSpan w:val="2"/>
            <w:shd w:val="clear" w:color="auto" w:fill="FFFFFF"/>
            <w:noWrap w:val="0"/>
            <w:tcMar>
              <w:top w:w="0" w:type="dxa"/>
              <w:left w:w="108" w:type="dxa"/>
              <w:bottom w:w="0" w:type="dxa"/>
              <w:right w:w="108" w:type="dxa"/>
            </w:tcMar>
            <w:vAlign w:val="top"/>
          </w:tcPr>
          <w:p w14:paraId="549234CC">
            <w:pPr>
              <w:rPr>
                <w:rFonts w:hint="eastAsia" w:ascii="宋体" w:hAnsi="宋体"/>
                <w:color w:val="1F497D"/>
              </w:rPr>
            </w:pPr>
          </w:p>
        </w:tc>
        <w:tc>
          <w:tcPr>
            <w:tcW w:w="4814" w:type="dxa"/>
            <w:noWrap w:val="0"/>
            <w:vAlign w:val="top"/>
          </w:tcPr>
          <w:p w14:paraId="0A499A4A">
            <w:pPr>
              <w:rPr>
                <w:rFonts w:ascii="宋体" w:hAnsi="宋体"/>
                <w:color w:val="000000"/>
              </w:rPr>
            </w:pPr>
            <w:r>
              <w:rPr>
                <w:rFonts w:hint="eastAsia" w:ascii="宋体" w:hAnsi="宋体"/>
                <w:color w:val="7F7F7F"/>
              </w:rPr>
              <w:t>This will be used to facilitate further communication with you in scenarios such as problem localization.</w:t>
            </w:r>
          </w:p>
        </w:tc>
      </w:tr>
      <w:tr w14:paraId="0C775F01">
        <w:trPr>
          <w:trHeight w:val="121" w:hRule="atLeast"/>
        </w:trPr>
        <w:tc>
          <w:tcPr>
            <w:tcW w:w="8495" w:type="dxa"/>
            <w:gridSpan w:val="3"/>
            <w:shd w:val="clear" w:color="auto" w:fill="F1F1F1"/>
            <w:noWrap w:val="0"/>
            <w:tcMar>
              <w:top w:w="0" w:type="dxa"/>
              <w:left w:w="108" w:type="dxa"/>
              <w:bottom w:w="0" w:type="dxa"/>
              <w:right w:w="108" w:type="dxa"/>
            </w:tcMar>
            <w:vAlign w:val="top"/>
          </w:tcPr>
          <w:p w14:paraId="586869AA">
            <w:pPr>
              <w:jc w:val="left"/>
              <w:rPr>
                <w:rFonts w:ascii="宋体" w:hAnsi="宋体"/>
                <w:color w:val="000000"/>
              </w:rPr>
            </w:pPr>
            <w:r>
              <w:rPr>
                <w:rFonts w:hint="eastAsia"/>
                <w:b/>
              </w:rPr>
              <w:t xml:space="preserve">2. Vulnerability </w:t>
            </w:r>
            <w:r>
              <w:rPr>
                <w:b/>
              </w:rPr>
              <w:t>Information​</w:t>
            </w:r>
          </w:p>
        </w:tc>
      </w:tr>
      <w:tr w14:paraId="7276E2D7">
        <w:tc>
          <w:tcPr>
            <w:tcW w:w="8495" w:type="dxa"/>
            <w:gridSpan w:val="3"/>
            <w:shd w:val="clear" w:color="auto" w:fill="FFFFFF"/>
            <w:noWrap w:val="0"/>
            <w:tcMar>
              <w:top w:w="0" w:type="dxa"/>
              <w:left w:w="108" w:type="dxa"/>
              <w:bottom w:w="0" w:type="dxa"/>
              <w:right w:w="108" w:type="dxa"/>
            </w:tcMar>
            <w:vAlign w:val="top"/>
          </w:tcPr>
          <w:p w14:paraId="5FD039A8">
            <w:pPr>
              <w:rPr>
                <w:b/>
              </w:rPr>
            </w:pPr>
            <w:r>
              <w:rPr>
                <w:rFonts w:hint="eastAsia"/>
                <w:b/>
              </w:rPr>
              <w:t xml:space="preserve">Affected </w:t>
            </w:r>
            <w:r>
              <w:rPr>
                <w:rFonts w:hint="eastAsia"/>
                <w:b/>
                <w:lang w:eastAsia="zh-CN"/>
              </w:rPr>
              <w:t xml:space="preserve">MAXHUB </w:t>
            </w:r>
            <w:r>
              <w:rPr>
                <w:rFonts w:hint="eastAsia"/>
                <w:b/>
              </w:rPr>
              <w:t xml:space="preserve">related </w:t>
            </w:r>
            <w:r>
              <w:rPr>
                <w:b/>
              </w:rPr>
              <w:t xml:space="preserve">products </w:t>
            </w:r>
            <w:r>
              <w:rPr>
                <w:rFonts w:hint="eastAsia"/>
                <w:b/>
              </w:rPr>
              <w:t xml:space="preserve">or </w:t>
            </w:r>
            <w:r>
              <w:rPr>
                <w:b/>
              </w:rPr>
              <w:t>components​</w:t>
            </w:r>
          </w:p>
          <w:p w14:paraId="24A4B0D8">
            <w:pPr>
              <w:rPr>
                <w:rFonts w:ascii="宋体" w:hAnsi="宋体"/>
                <w:color w:val="000000"/>
              </w:rPr>
            </w:pPr>
            <w:r>
              <w:rPr>
                <w:rFonts w:hint="eastAsia"/>
                <w:color w:val="7F7F7F"/>
              </w:rPr>
              <w:t xml:space="preserve">This information is used to help </w:t>
            </w:r>
            <w:r>
              <w:rPr>
                <w:color w:val="7F7F7F"/>
              </w:rPr>
              <w:t xml:space="preserve">us quickly locate </w:t>
            </w:r>
            <w:r>
              <w:rPr>
                <w:rFonts w:hint="eastAsia"/>
                <w:color w:val="7F7F7F"/>
              </w:rPr>
              <w:t xml:space="preserve">the affected </w:t>
            </w:r>
            <w:r>
              <w:rPr>
                <w:color w:val="7F7F7F"/>
              </w:rPr>
              <w:t xml:space="preserve">products . </w:t>
            </w:r>
            <w:r>
              <w:rPr>
                <w:rFonts w:hint="eastAsia"/>
                <w:color w:val="7F7F7F"/>
              </w:rPr>
              <w:t xml:space="preserve">Please provide </w:t>
            </w:r>
            <w:r>
              <w:rPr>
                <w:color w:val="7F7F7F"/>
              </w:rPr>
              <w:t xml:space="preserve">the specific </w:t>
            </w:r>
            <w:r>
              <w:rPr>
                <w:rFonts w:hint="eastAsia"/>
                <w:color w:val="7F7F7F"/>
                <w:lang w:eastAsia="zh-CN"/>
              </w:rPr>
              <w:t xml:space="preserve">MAXHUB </w:t>
            </w:r>
            <w:r>
              <w:rPr>
                <w:color w:val="7F7F7F"/>
              </w:rPr>
              <w:t xml:space="preserve">product or component name </w:t>
            </w:r>
            <w:r>
              <w:rPr>
                <w:rFonts w:hint="eastAsia"/>
                <w:color w:val="7F7F7F"/>
              </w:rPr>
              <w:t>.</w:t>
            </w:r>
            <w:r>
              <w:rPr>
                <w:rFonts w:ascii="宋体" w:hAnsi="宋体"/>
                <w:color w:val="000000"/>
              </w:rPr>
              <w:t xml:space="preserve"> </w:t>
            </w:r>
          </w:p>
        </w:tc>
      </w:tr>
      <w:tr w14:paraId="2DB6AC0A">
        <w:tc>
          <w:tcPr>
            <w:tcW w:w="8495" w:type="dxa"/>
            <w:gridSpan w:val="3"/>
            <w:shd w:val="clear" w:color="auto" w:fill="FFFFFF"/>
            <w:noWrap w:val="0"/>
            <w:tcMar>
              <w:top w:w="0" w:type="dxa"/>
              <w:left w:w="108" w:type="dxa"/>
              <w:bottom w:w="0" w:type="dxa"/>
              <w:right w:w="108" w:type="dxa"/>
            </w:tcMar>
            <w:vAlign w:val="top"/>
          </w:tcPr>
          <w:p w14:paraId="4BF0A9FB">
            <w:pPr>
              <w:rPr>
                <w:rFonts w:ascii="宋体" w:hAnsi="宋体"/>
                <w:color w:val="1F497D"/>
              </w:rPr>
            </w:pPr>
          </w:p>
          <w:p w14:paraId="290FB677">
            <w:pPr>
              <w:rPr>
                <w:rFonts w:ascii="宋体" w:hAnsi="宋体"/>
                <w:color w:val="1F497D"/>
              </w:rPr>
            </w:pPr>
          </w:p>
          <w:p w14:paraId="4A2F2A04">
            <w:pPr>
              <w:rPr>
                <w:rFonts w:ascii="宋体" w:hAnsi="宋体"/>
                <w:color w:val="1F497D"/>
              </w:rPr>
            </w:pPr>
          </w:p>
        </w:tc>
      </w:tr>
      <w:tr w14:paraId="781A8CEE">
        <w:tc>
          <w:tcPr>
            <w:tcW w:w="8495" w:type="dxa"/>
            <w:gridSpan w:val="3"/>
            <w:shd w:val="clear" w:color="auto" w:fill="FFFFFF"/>
            <w:noWrap w:val="0"/>
            <w:tcMar>
              <w:top w:w="0" w:type="dxa"/>
              <w:left w:w="108" w:type="dxa"/>
              <w:bottom w:w="0" w:type="dxa"/>
              <w:right w:w="108" w:type="dxa"/>
            </w:tcMar>
            <w:vAlign w:val="top"/>
          </w:tcPr>
          <w:p w14:paraId="2862ADC3">
            <w:pPr>
              <w:rPr>
                <w:b/>
              </w:rPr>
            </w:pPr>
            <w:r>
              <w:rPr>
                <w:rFonts w:hint="eastAsia"/>
                <w:b/>
              </w:rPr>
              <w:t>Brief description of the vulnerability</w:t>
            </w:r>
          </w:p>
          <w:p w14:paraId="629B3A4A">
            <w:r>
              <w:rPr>
                <w:rFonts w:hint="eastAsia"/>
                <w:color w:val="7F7F7F"/>
              </w:rPr>
              <w:t xml:space="preserve">Please </w:t>
            </w:r>
            <w:r>
              <w:rPr>
                <w:color w:val="7F7F7F"/>
              </w:rPr>
              <w:t xml:space="preserve">describe the vulnerability as briefly as possible </w:t>
            </w:r>
            <w:r>
              <w:rPr>
                <w:rFonts w:hint="eastAsia"/>
                <w:color w:val="7F7F7F"/>
              </w:rPr>
              <w:t xml:space="preserve">, including </w:t>
            </w:r>
            <w:r>
              <w:rPr>
                <w:color w:val="7F7F7F"/>
              </w:rPr>
              <w:t xml:space="preserve">the type of vulnerability and the </w:t>
            </w:r>
            <w:r>
              <w:rPr>
                <w:rFonts w:hint="eastAsia"/>
                <w:color w:val="7F7F7F"/>
              </w:rPr>
              <w:t xml:space="preserve">potential </w:t>
            </w:r>
            <w:r>
              <w:rPr>
                <w:color w:val="7F7F7F"/>
              </w:rPr>
              <w:t xml:space="preserve">impact </w:t>
            </w:r>
            <w:r>
              <w:rPr>
                <w:rFonts w:hint="eastAsia"/>
                <w:color w:val="7F7F7F"/>
              </w:rPr>
              <w:t xml:space="preserve">of an attacker successfully </w:t>
            </w:r>
            <w:r>
              <w:rPr>
                <w:color w:val="7F7F7F"/>
              </w:rPr>
              <w:t>exploiting it.</w:t>
            </w:r>
          </w:p>
        </w:tc>
      </w:tr>
      <w:tr w14:paraId="44306E7C">
        <w:tc>
          <w:tcPr>
            <w:tcW w:w="8495" w:type="dxa"/>
            <w:gridSpan w:val="3"/>
            <w:shd w:val="clear" w:color="auto" w:fill="FFFFFF"/>
            <w:noWrap w:val="0"/>
            <w:tcMar>
              <w:top w:w="0" w:type="dxa"/>
              <w:left w:w="108" w:type="dxa"/>
              <w:bottom w:w="0" w:type="dxa"/>
              <w:right w:w="108" w:type="dxa"/>
            </w:tcMar>
            <w:vAlign w:val="top"/>
          </w:tcPr>
          <w:p w14:paraId="10B66686"/>
          <w:p w14:paraId="237893D6"/>
          <w:p w14:paraId="76F3CAD0"/>
          <w:p w14:paraId="17266820"/>
        </w:tc>
      </w:tr>
      <w:tr w14:paraId="59453AD3">
        <w:tc>
          <w:tcPr>
            <w:tcW w:w="8495" w:type="dxa"/>
            <w:gridSpan w:val="3"/>
            <w:shd w:val="clear" w:color="auto" w:fill="FFFFFF"/>
            <w:noWrap w:val="0"/>
            <w:tcMar>
              <w:top w:w="0" w:type="dxa"/>
              <w:left w:w="108" w:type="dxa"/>
              <w:bottom w:w="0" w:type="dxa"/>
              <w:right w:w="108" w:type="dxa"/>
            </w:tcMar>
            <w:vAlign w:val="top"/>
          </w:tcPr>
          <w:p w14:paraId="4F998871">
            <w:pPr>
              <w:rPr>
                <w:b/>
              </w:rPr>
            </w:pPr>
            <w:r>
              <w:rPr>
                <w:rFonts w:hint="eastAsia"/>
                <w:b/>
              </w:rPr>
              <w:t xml:space="preserve">Vulnerability </w:t>
            </w:r>
            <w:r>
              <w:rPr>
                <w:b/>
              </w:rPr>
              <w:t>Technical Details</w:t>
            </w:r>
          </w:p>
          <w:p w14:paraId="50C34672">
            <w:r>
              <w:rPr>
                <w:rFonts w:hint="eastAsia"/>
                <w:color w:val="7F7F7F"/>
              </w:rPr>
              <w:t xml:space="preserve">Please provide the technical details </w:t>
            </w:r>
            <w:r>
              <w:rPr>
                <w:color w:val="7F7F7F"/>
              </w:rPr>
              <w:t xml:space="preserve">of this vulnerability , including the following: 1. </w:t>
            </w:r>
            <w:r>
              <w:rPr>
                <w:rFonts w:hint="eastAsia"/>
                <w:color w:val="7F7F7F"/>
              </w:rPr>
              <w:t xml:space="preserve">A detailed description of </w:t>
            </w:r>
            <w:r>
              <w:rPr>
                <w:color w:val="7F7F7F"/>
              </w:rPr>
              <w:t xml:space="preserve">the vulnerability's </w:t>
            </w:r>
            <w:r>
              <w:rPr>
                <w:rFonts w:hint="eastAsia"/>
                <w:color w:val="7F7F7F"/>
              </w:rPr>
              <w:t xml:space="preserve">technical aspects; </w:t>
            </w:r>
            <w:r>
              <w:rPr>
                <w:color w:val="7F7F7F"/>
              </w:rPr>
              <w:t xml:space="preserve">2. </w:t>
            </w:r>
            <w:r>
              <w:rPr>
                <w:rFonts w:hint="eastAsia"/>
                <w:color w:val="7F7F7F"/>
              </w:rPr>
              <w:t xml:space="preserve">Detailed </w:t>
            </w:r>
            <w:r>
              <w:rPr>
                <w:color w:val="7F7F7F"/>
              </w:rPr>
              <w:t xml:space="preserve">steps to reproduce the vulnerability ( </w:t>
            </w:r>
            <w:r>
              <w:rPr>
                <w:rFonts w:hint="eastAsia"/>
                <w:color w:val="7F7F7F"/>
              </w:rPr>
              <w:t xml:space="preserve">this will be crucial for </w:t>
            </w:r>
            <w:r>
              <w:rPr>
                <w:color w:val="7F7F7F"/>
              </w:rPr>
              <w:t xml:space="preserve">us to reproduce your findings ) </w:t>
            </w:r>
            <w:r>
              <w:rPr>
                <w:rFonts w:hint="eastAsia"/>
                <w:color w:val="7F7F7F"/>
              </w:rPr>
              <w:t xml:space="preserve">; 3. </w:t>
            </w:r>
            <w:r>
              <w:rPr>
                <w:color w:val="7F7F7F"/>
              </w:rPr>
              <w:t xml:space="preserve">If </w:t>
            </w:r>
            <w:r>
              <w:rPr>
                <w:rFonts w:hint="eastAsia"/>
                <w:color w:val="7F7F7F"/>
              </w:rPr>
              <w:t xml:space="preserve">you can provide a Proof of Concept </w:t>
            </w:r>
            <w:r>
              <w:rPr>
                <w:color w:val="7F7F7F"/>
              </w:rPr>
              <w:t xml:space="preserve">(PoC ), please send it to us </w:t>
            </w:r>
            <w:r>
              <w:rPr>
                <w:rFonts w:hint="eastAsia"/>
                <w:color w:val="7F7F7F"/>
              </w:rPr>
              <w:t xml:space="preserve">as </w:t>
            </w:r>
            <w:r>
              <w:rPr>
                <w:color w:val="7F7F7F"/>
              </w:rPr>
              <w:t>an additional attachment to this report.</w:t>
            </w:r>
          </w:p>
        </w:tc>
      </w:tr>
      <w:tr w14:paraId="024E5B4C">
        <w:tc>
          <w:tcPr>
            <w:tcW w:w="8495" w:type="dxa"/>
            <w:gridSpan w:val="3"/>
            <w:shd w:val="clear" w:color="auto" w:fill="FFFFFF"/>
            <w:noWrap w:val="0"/>
            <w:tcMar>
              <w:top w:w="0" w:type="dxa"/>
              <w:left w:w="108" w:type="dxa"/>
              <w:bottom w:w="0" w:type="dxa"/>
              <w:right w:w="108" w:type="dxa"/>
            </w:tcMar>
            <w:vAlign w:val="top"/>
          </w:tcPr>
          <w:p w14:paraId="705830A7"/>
          <w:p w14:paraId="338EF356"/>
          <w:p w14:paraId="042092B8"/>
          <w:p w14:paraId="56D1EB0C"/>
        </w:tc>
      </w:tr>
      <w:tr w14:paraId="12AE7C1A">
        <w:tc>
          <w:tcPr>
            <w:tcW w:w="8495" w:type="dxa"/>
            <w:gridSpan w:val="3"/>
            <w:shd w:val="clear" w:color="auto" w:fill="FFFFFF"/>
            <w:noWrap w:val="0"/>
            <w:tcMar>
              <w:top w:w="0" w:type="dxa"/>
              <w:left w:w="108" w:type="dxa"/>
              <w:bottom w:w="0" w:type="dxa"/>
              <w:right w:w="108" w:type="dxa"/>
            </w:tcMar>
            <w:vAlign w:val="top"/>
          </w:tcPr>
          <w:p w14:paraId="15C39628">
            <w:pPr>
              <w:rPr>
                <w:b/>
              </w:rPr>
            </w:pPr>
            <w:r>
              <w:rPr>
                <w:rFonts w:hint="eastAsia"/>
                <w:b/>
              </w:rPr>
              <w:t xml:space="preserve">vulnerability attack </w:t>
            </w:r>
            <w:r>
              <w:rPr>
                <w:b/>
              </w:rPr>
              <w:t>scenarios</w:t>
            </w:r>
          </w:p>
          <w:p w14:paraId="026B99A1">
            <w:pPr>
              <w:rPr>
                <w:color w:val="7F7F7F"/>
              </w:rPr>
            </w:pPr>
            <w:r>
              <w:rPr>
                <w:rFonts w:hint="eastAsia"/>
                <w:color w:val="7F7F7F"/>
              </w:rPr>
              <w:t xml:space="preserve">A vulnerability attack scenario differs from </w:t>
            </w:r>
            <w:r>
              <w:rPr>
                <w:color w:val="7F7F7F"/>
              </w:rPr>
              <w:t xml:space="preserve">a vulnerability reproduction step </w:t>
            </w:r>
            <w:r>
              <w:rPr>
                <w:rFonts w:hint="eastAsia"/>
                <w:color w:val="7F7F7F"/>
              </w:rPr>
              <w:t xml:space="preserve">. </w:t>
            </w:r>
            <w:r>
              <w:rPr>
                <w:color w:val="7F7F7F"/>
              </w:rPr>
              <w:t xml:space="preserve">It </w:t>
            </w:r>
            <w:r>
              <w:rPr>
                <w:rFonts w:hint="eastAsia"/>
                <w:color w:val="7F7F7F"/>
              </w:rPr>
              <w:t xml:space="preserve">describes </w:t>
            </w:r>
            <w:r>
              <w:rPr>
                <w:color w:val="7F7F7F"/>
              </w:rPr>
              <w:t xml:space="preserve">how an attacker can successfully exploit the vulnerability </w:t>
            </w:r>
            <w:r>
              <w:rPr>
                <w:rFonts w:hint="eastAsia"/>
                <w:color w:val="7F7F7F"/>
              </w:rPr>
              <w:t xml:space="preserve">. </w:t>
            </w:r>
            <w:r>
              <w:rPr>
                <w:color w:val="7F7F7F"/>
              </w:rPr>
              <w:t xml:space="preserve">It includes the preconditions for </w:t>
            </w:r>
            <w:r>
              <w:rPr>
                <w:rFonts w:hint="eastAsia"/>
                <w:color w:val="7F7F7F"/>
              </w:rPr>
              <w:t xml:space="preserve">the attacker to launch an attack, the restrictions on vulnerability triggering </w:t>
            </w:r>
            <w:r>
              <w:rPr>
                <w:color w:val="7F7F7F"/>
              </w:rPr>
              <w:t xml:space="preserve">, and whether </w:t>
            </w:r>
            <w:r>
              <w:rPr>
                <w:rFonts w:hint="eastAsia"/>
                <w:color w:val="7F7F7F"/>
              </w:rPr>
              <w:t xml:space="preserve">interaction with the victim is required </w:t>
            </w:r>
            <w:r>
              <w:rPr>
                <w:color w:val="7F7F7F"/>
              </w:rPr>
              <w:t>.</w:t>
            </w:r>
          </w:p>
          <w:p w14:paraId="5A9E18E8">
            <w:r>
              <w:rPr>
                <w:rFonts w:hint="eastAsia"/>
                <w:color w:val="7F7F7F"/>
              </w:rPr>
              <w:t xml:space="preserve">Describing </w:t>
            </w:r>
            <w:r>
              <w:rPr>
                <w:color w:val="7F7F7F"/>
              </w:rPr>
              <w:t xml:space="preserve">vulnerability attack scenarios </w:t>
            </w:r>
            <w:r>
              <w:rPr>
                <w:rFonts w:hint="eastAsia"/>
                <w:color w:val="7F7F7F"/>
              </w:rPr>
              <w:t xml:space="preserve">will </w:t>
            </w:r>
            <w:r>
              <w:rPr>
                <w:color w:val="7F7F7F"/>
              </w:rPr>
              <w:t xml:space="preserve">help us </w:t>
            </w:r>
            <w:r>
              <w:rPr>
                <w:rFonts w:hint="eastAsia"/>
                <w:color w:val="7F7F7F"/>
              </w:rPr>
              <w:t xml:space="preserve">quickly </w:t>
            </w:r>
            <w:r>
              <w:rPr>
                <w:color w:val="7F7F7F"/>
              </w:rPr>
              <w:t xml:space="preserve">assess your security report, </w:t>
            </w:r>
            <w:r>
              <w:rPr>
                <w:rFonts w:hint="eastAsia"/>
                <w:color w:val="7F7F7F"/>
              </w:rPr>
              <w:t xml:space="preserve">especially </w:t>
            </w:r>
            <w:r>
              <w:rPr>
                <w:color w:val="7F7F7F"/>
              </w:rPr>
              <w:t>for complex security issues.</w:t>
            </w:r>
          </w:p>
        </w:tc>
      </w:tr>
      <w:tr w14:paraId="5DB4232A">
        <w:tc>
          <w:tcPr>
            <w:tcW w:w="8495" w:type="dxa"/>
            <w:gridSpan w:val="3"/>
            <w:shd w:val="clear" w:color="auto" w:fill="FFFFFF"/>
            <w:noWrap w:val="0"/>
            <w:tcMar>
              <w:top w:w="0" w:type="dxa"/>
              <w:left w:w="108" w:type="dxa"/>
              <w:bottom w:w="0" w:type="dxa"/>
              <w:right w:w="108" w:type="dxa"/>
            </w:tcMar>
            <w:vAlign w:val="top"/>
          </w:tcPr>
          <w:p w14:paraId="49C8E6AE"/>
          <w:p w14:paraId="655067FA"/>
          <w:p w14:paraId="49D1F484"/>
          <w:p w14:paraId="3D033B86"/>
          <w:p w14:paraId="2DC26E4F"/>
        </w:tc>
      </w:tr>
      <w:tr w14:paraId="0983F32E">
        <w:tc>
          <w:tcPr>
            <w:tcW w:w="8495" w:type="dxa"/>
            <w:gridSpan w:val="3"/>
            <w:shd w:val="clear" w:color="auto" w:fill="FFFFFF"/>
            <w:noWrap w:val="0"/>
            <w:tcMar>
              <w:top w:w="0" w:type="dxa"/>
              <w:left w:w="108" w:type="dxa"/>
              <w:bottom w:w="0" w:type="dxa"/>
              <w:right w:w="108" w:type="dxa"/>
            </w:tcMar>
            <w:vAlign w:val="top"/>
          </w:tcPr>
          <w:p w14:paraId="52E28F04">
            <w:pPr>
              <w:rPr>
                <w:b/>
              </w:rPr>
            </w:pPr>
            <w:r>
              <w:rPr>
                <w:rFonts w:hint="eastAsia"/>
                <w:b/>
              </w:rPr>
              <w:t xml:space="preserve">Recommendations for repair and mitigation </w:t>
            </w:r>
            <w:r>
              <w:rPr>
                <w:b/>
              </w:rPr>
              <w:t>measures</w:t>
            </w:r>
          </w:p>
          <w:p w14:paraId="4F811593">
            <w:r>
              <w:rPr>
                <w:rFonts w:hint="eastAsia"/>
                <w:color w:val="7F7F7F"/>
              </w:rPr>
              <w:t xml:space="preserve">This content </w:t>
            </w:r>
            <w:r>
              <w:rPr>
                <w:color w:val="7F7F7F"/>
              </w:rPr>
              <w:t xml:space="preserve">can help us understand how to fix vulnerabilities </w:t>
            </w:r>
            <w:r>
              <w:rPr>
                <w:rFonts w:hint="eastAsia"/>
                <w:color w:val="7F7F7F"/>
              </w:rPr>
              <w:t xml:space="preserve">, including </w:t>
            </w:r>
            <w:r>
              <w:rPr>
                <w:color w:val="7F7F7F"/>
              </w:rPr>
              <w:t xml:space="preserve">detailed remediation </w:t>
            </w:r>
            <w:r>
              <w:rPr>
                <w:rFonts w:hint="eastAsia"/>
                <w:color w:val="7F7F7F"/>
              </w:rPr>
              <w:t xml:space="preserve">methods, solutions </w:t>
            </w:r>
            <w:r>
              <w:rPr>
                <w:color w:val="7F7F7F"/>
              </w:rPr>
              <w:t xml:space="preserve">, </w:t>
            </w:r>
            <w:r>
              <w:rPr>
                <w:rFonts w:hint="eastAsia"/>
                <w:color w:val="7F7F7F"/>
              </w:rPr>
              <w:t xml:space="preserve">industry </w:t>
            </w:r>
            <w:r>
              <w:rPr>
                <w:color w:val="7F7F7F"/>
              </w:rPr>
              <w:t xml:space="preserve">best practices </w:t>
            </w:r>
            <w:r>
              <w:rPr>
                <w:rFonts w:hint="eastAsia"/>
                <w:color w:val="7F7F7F"/>
              </w:rPr>
              <w:t xml:space="preserve">, and temporary mitigation </w:t>
            </w:r>
            <w:r>
              <w:rPr>
                <w:color w:val="7F7F7F"/>
              </w:rPr>
              <w:t xml:space="preserve">measures such as </w:t>
            </w:r>
            <w:r>
              <w:rPr>
                <w:rFonts w:hint="eastAsia"/>
                <w:color w:val="7F7F7F"/>
              </w:rPr>
              <w:t xml:space="preserve">IPS </w:t>
            </w:r>
            <w:r>
              <w:rPr>
                <w:color w:val="7F7F7F"/>
              </w:rPr>
              <w:t xml:space="preserve">/WAF rule </w:t>
            </w:r>
            <w:r>
              <w:rPr>
                <w:rFonts w:hint="eastAsia"/>
                <w:color w:val="7F7F7F"/>
              </w:rPr>
              <w:t>formulation .</w:t>
            </w:r>
          </w:p>
        </w:tc>
      </w:tr>
      <w:tr w14:paraId="3359D08B">
        <w:tc>
          <w:tcPr>
            <w:tcW w:w="8495" w:type="dxa"/>
            <w:gridSpan w:val="3"/>
            <w:shd w:val="clear" w:color="auto" w:fill="FFFFFF"/>
            <w:noWrap w:val="0"/>
            <w:tcMar>
              <w:top w:w="0" w:type="dxa"/>
              <w:left w:w="108" w:type="dxa"/>
              <w:bottom w:w="0" w:type="dxa"/>
              <w:right w:w="108" w:type="dxa"/>
            </w:tcMar>
            <w:vAlign w:val="top"/>
          </w:tcPr>
          <w:p w14:paraId="415CF3E4"/>
          <w:p w14:paraId="36A6265F"/>
          <w:p w14:paraId="3A16FE90"/>
          <w:p w14:paraId="3F013953"/>
        </w:tc>
      </w:tr>
      <w:tr w14:paraId="7FC045C3">
        <w:tc>
          <w:tcPr>
            <w:tcW w:w="8495" w:type="dxa"/>
            <w:gridSpan w:val="3"/>
            <w:shd w:val="clear" w:color="auto" w:fill="D8D8D8"/>
            <w:noWrap w:val="0"/>
            <w:tcMar>
              <w:top w:w="0" w:type="dxa"/>
              <w:left w:w="108" w:type="dxa"/>
              <w:bottom w:w="0" w:type="dxa"/>
              <w:right w:w="108" w:type="dxa"/>
            </w:tcMar>
            <w:vAlign w:val="top"/>
          </w:tcPr>
          <w:p w14:paraId="1D7B19D9">
            <w:pPr>
              <w:jc w:val="left"/>
            </w:pPr>
            <w:r>
              <w:rPr>
                <w:rFonts w:hint="eastAsia"/>
                <w:b/>
              </w:rPr>
              <w:t xml:space="preserve">3. </w:t>
            </w:r>
            <w:r>
              <w:rPr>
                <w:b/>
              </w:rPr>
              <w:t xml:space="preserve">Vulnerability </w:t>
            </w:r>
            <w:r>
              <w:rPr>
                <w:rFonts w:hint="eastAsia"/>
                <w:b/>
              </w:rPr>
              <w:t>Disclosure</w:t>
            </w:r>
          </w:p>
        </w:tc>
      </w:tr>
      <w:tr w14:paraId="0B658129">
        <w:tc>
          <w:tcPr>
            <w:tcW w:w="8495" w:type="dxa"/>
            <w:gridSpan w:val="3"/>
            <w:shd w:val="clear" w:color="auto" w:fill="FFFFFF"/>
            <w:noWrap w:val="0"/>
            <w:tcMar>
              <w:top w:w="0" w:type="dxa"/>
              <w:left w:w="108" w:type="dxa"/>
              <w:bottom w:w="0" w:type="dxa"/>
              <w:right w:w="108" w:type="dxa"/>
            </w:tcMar>
            <w:vAlign w:val="top"/>
          </w:tcPr>
          <w:p w14:paraId="289163DB">
            <w:pPr>
              <w:rPr>
                <w:b/>
              </w:rPr>
            </w:pPr>
            <w:r>
              <w:rPr>
                <w:rFonts w:hint="eastAsia"/>
                <w:b/>
              </w:rPr>
              <w:t xml:space="preserve">Do you </w:t>
            </w:r>
            <w:r>
              <w:rPr>
                <w:b/>
              </w:rPr>
              <w:t xml:space="preserve">have any plans to publicly discuss this vulnerability after it has been patched </w:t>
            </w:r>
            <w:r>
              <w:rPr>
                <w:rFonts w:hint="eastAsia"/>
                <w:b/>
              </w:rPr>
              <w:t>, including giving presentations at conferences, publishing technical articles, etc.?</w:t>
            </w:r>
          </w:p>
          <w:p w14:paraId="4AC52C47">
            <w:r>
              <w:rPr>
                <w:rFonts w:hint="eastAsia"/>
                <w:color w:val="7F7F7F"/>
              </w:rPr>
              <w:t xml:space="preserve">Please select the corresponding </w:t>
            </w:r>
            <w:r>
              <w:rPr>
                <w:color w:val="7F7F7F"/>
              </w:rPr>
              <w:t xml:space="preserve">option . </w:t>
            </w:r>
            <w:r>
              <w:rPr>
                <w:rFonts w:hint="eastAsia"/>
                <w:color w:val="7F7F7F"/>
              </w:rPr>
              <w:t xml:space="preserve">Please note that we require that you not disclose the security vulnerability you reported to any third party (including any third party other than yourself) until it has been patched. If you intend to publicly discuss the vulnerability after we have patched it, including through conference presentations, publishing technical articles, etc., </w:t>
            </w:r>
            <w:r>
              <w:fldChar w:fldCharType="begin"/>
            </w:r>
            <w:r>
              <w:instrText xml:space="preserve"> HYPERLINK "mailto:请提前联系PSIRT@huawei.com" </w:instrText>
            </w:r>
            <w:r>
              <w:fldChar w:fldCharType="separate"/>
            </w:r>
            <w:r>
              <w:rPr>
                <w:rStyle w:val="10"/>
                <w:rFonts w:hint="eastAsia"/>
              </w:rPr>
              <w:t xml:space="preserve">please contact </w:t>
            </w:r>
            <w:r>
              <w:rPr>
                <w:rStyle w:val="10"/>
                <w:rFonts w:hint="eastAsia"/>
                <w:lang w:val="en-US" w:eastAsia="zh-CN"/>
              </w:rPr>
              <w:t xml:space="preserve">security@maxhub.com in advance </w:t>
            </w:r>
            <w:r>
              <w:rPr>
                <w:rStyle w:val="10"/>
                <w:rFonts w:hint="eastAsia"/>
              </w:rPr>
              <w:fldChar w:fldCharType="end"/>
            </w:r>
            <w:r>
              <w:rPr>
                <w:rFonts w:hint="eastAsia"/>
                <w:color w:val="7F7F7F"/>
              </w:rPr>
              <w:t>.</w:t>
            </w:r>
          </w:p>
        </w:tc>
      </w:tr>
      <w:tr w14:paraId="6DE0C7D2">
        <w:tc>
          <w:tcPr>
            <w:tcW w:w="8495" w:type="dxa"/>
            <w:gridSpan w:val="3"/>
            <w:shd w:val="clear" w:color="auto" w:fill="FFFFFF"/>
            <w:noWrap w:val="0"/>
            <w:tcMar>
              <w:top w:w="0" w:type="dxa"/>
              <w:left w:w="108" w:type="dxa"/>
              <w:bottom w:w="0" w:type="dxa"/>
              <w:right w:w="108" w:type="dxa"/>
            </w:tcMar>
            <w:vAlign w:val="top"/>
          </w:tcPr>
          <w:p w14:paraId="0C3C337F">
            <w:pPr>
              <w:rPr>
                <w:rFonts w:hint="eastAsia" w:eastAsia="MS Gothic"/>
                <w:lang w:val="en-US" w:eastAsia="zh-CN"/>
              </w:rPr>
            </w:pPr>
            <w:r>
              <w:rPr>
                <w:rFonts w:hint="eastAsia" w:ascii="MS Gothic" w:hAnsi="MS Gothic" w:eastAsia="MS Gothic"/>
              </w:rPr>
              <w:t xml:space="preserve">☐ </w:t>
            </w:r>
            <w:r>
              <w:rPr>
                <w:rFonts w:hint="eastAsia" w:ascii="MS Gothic" w:hAnsi="MS Gothic" w:eastAsia="MS Gothic"/>
                <w:lang w:val="en-US" w:eastAsia="zh-CN"/>
              </w:rPr>
              <w:t>Yes</w:t>
            </w:r>
          </w:p>
          <w:p w14:paraId="1E8AD674">
            <w:r>
              <w:rPr>
                <w:rFonts w:hint="eastAsia" w:ascii="MS Gothic" w:hAnsi="MS Gothic" w:eastAsia="MS Gothic"/>
              </w:rPr>
              <w:t>☐</w:t>
            </w:r>
            <w:r>
              <w:rPr>
                <w:rFonts w:hint="eastAsia" w:ascii="MS Gothic" w:hAnsi="MS Gothic" w:eastAsia="MS Gothic"/>
                <w:lang w:val="en-US" w:eastAsia="zh-CN"/>
              </w:rPr>
              <w:t xml:space="preserve"> </w:t>
            </w:r>
            <w:r>
              <w:rPr>
                <w:rFonts w:hint="eastAsia" w:ascii="MS Gothic" w:hAnsi="MS Gothic" w:eastAsia="MS Gothic"/>
              </w:rPr>
              <w:t>No</w:t>
            </w:r>
            <w:r>
              <w:rPr>
                <w:rFonts w:hint="eastAsia"/>
              </w:rPr>
              <w:t>​</w:t>
            </w:r>
          </w:p>
        </w:tc>
      </w:tr>
      <w:tr w14:paraId="23F472A2">
        <w:tc>
          <w:tcPr>
            <w:tcW w:w="8495" w:type="dxa"/>
            <w:gridSpan w:val="3"/>
            <w:shd w:val="clear" w:color="auto" w:fill="FFFFFF"/>
            <w:noWrap w:val="0"/>
            <w:tcMar>
              <w:top w:w="0" w:type="dxa"/>
              <w:left w:w="108" w:type="dxa"/>
              <w:bottom w:w="0" w:type="dxa"/>
              <w:right w:w="108" w:type="dxa"/>
            </w:tcMar>
            <w:vAlign w:val="top"/>
          </w:tcPr>
          <w:p w14:paraId="30EACFBB">
            <w:pPr>
              <w:jc w:val="left"/>
              <w:rPr>
                <w:rFonts w:hint="eastAsia"/>
                <w:b/>
              </w:rPr>
            </w:pPr>
            <w:r>
              <w:rPr>
                <w:b/>
              </w:rPr>
              <w:t>4. Is it permissible to express gratitude externally?</w:t>
            </w:r>
          </w:p>
          <w:p w14:paraId="46E12D3E">
            <w:pPr>
              <w:jc w:val="left"/>
              <w:rPr>
                <w:rFonts w:hint="eastAsia"/>
                <w:b/>
              </w:rPr>
            </w:pPr>
            <w:r>
              <w:rPr>
                <w:rFonts w:hint="eastAsia"/>
                <w:b/>
              </w:rPr>
              <w:t>In principle, the security bulletin publicly disclosed regarding this vulnerability will include a thank you note. Do you agree?</w:t>
            </w:r>
          </w:p>
        </w:tc>
      </w:tr>
      <w:tr w14:paraId="576BB840">
        <w:tc>
          <w:tcPr>
            <w:tcW w:w="2190" w:type="dxa"/>
            <w:shd w:val="clear" w:color="auto" w:fill="FFFFFF"/>
            <w:noWrap w:val="0"/>
            <w:tcMar>
              <w:top w:w="0" w:type="dxa"/>
              <w:left w:w="108" w:type="dxa"/>
              <w:bottom w:w="0" w:type="dxa"/>
              <w:right w:w="108" w:type="dxa"/>
            </w:tcMar>
            <w:vAlign w:val="top"/>
          </w:tcPr>
          <w:p w14:paraId="642D4B2E">
            <w:pPr>
              <w:rPr>
                <w:rFonts w:hint="eastAsia" w:eastAsia="MS Gothic"/>
                <w:lang w:val="en-US" w:eastAsia="zh-CN"/>
              </w:rPr>
            </w:pPr>
            <w:r>
              <w:rPr>
                <w:rFonts w:hint="eastAsia" w:ascii="MS Gothic" w:hAnsi="MS Gothic" w:eastAsia="MS Gothic"/>
              </w:rPr>
              <w:t xml:space="preserve">☐ </w:t>
            </w:r>
            <w:r>
              <w:rPr>
                <w:rFonts w:hint="eastAsia" w:ascii="MS Gothic" w:hAnsi="MS Gothic" w:eastAsia="MS Gothic"/>
                <w:lang w:val="en-US" w:eastAsia="zh-CN"/>
              </w:rPr>
              <w:t>Yes</w:t>
            </w:r>
          </w:p>
        </w:tc>
        <w:tc>
          <w:tcPr>
            <w:tcW w:w="6305" w:type="dxa"/>
            <w:gridSpan w:val="2"/>
            <w:shd w:val="clear" w:color="auto" w:fill="FFFFFF"/>
            <w:noWrap w:val="0"/>
            <w:vAlign w:val="top"/>
          </w:tcPr>
          <w:p w14:paraId="4F7B27BF">
            <w:pPr>
              <w:rPr>
                <w:rFonts w:hint="eastAsia"/>
              </w:rPr>
            </w:pPr>
            <w:r>
              <w:rPr>
                <w:rFonts w:hint="eastAsia"/>
              </w:rPr>
              <w:t>Please provide the name or nickname of the person you wish to thank.</w:t>
            </w:r>
          </w:p>
        </w:tc>
      </w:tr>
      <w:tr w14:paraId="5CFB151B">
        <w:tc>
          <w:tcPr>
            <w:tcW w:w="2190" w:type="dxa"/>
            <w:shd w:val="clear" w:color="auto" w:fill="FFFFFF"/>
            <w:noWrap w:val="0"/>
            <w:tcMar>
              <w:top w:w="0" w:type="dxa"/>
              <w:left w:w="108" w:type="dxa"/>
              <w:bottom w:w="0" w:type="dxa"/>
              <w:right w:w="108" w:type="dxa"/>
            </w:tcMar>
            <w:vAlign w:val="top"/>
          </w:tcPr>
          <w:p w14:paraId="482C199B">
            <w:pPr>
              <w:rPr>
                <w:rFonts w:hint="eastAsia"/>
              </w:rPr>
            </w:pPr>
            <w:r>
              <w:rPr>
                <w:rFonts w:hint="eastAsia" w:ascii="MS Gothic" w:hAnsi="MS Gothic" w:eastAsia="MS Gothic"/>
              </w:rPr>
              <w:t>☐</w:t>
            </w:r>
            <w:r>
              <w:rPr>
                <w:rFonts w:hint="eastAsia" w:ascii="MS Gothic" w:hAnsi="MS Gothic" w:eastAsia="MS Gothic"/>
                <w:lang w:val="en-US" w:eastAsia="zh-CN"/>
              </w:rPr>
              <w:t xml:space="preserve"> </w:t>
            </w:r>
            <w:r>
              <w:rPr>
                <w:rFonts w:hint="eastAsia" w:ascii="MS Gothic" w:hAnsi="MS Gothic" w:eastAsia="MS Gothic"/>
              </w:rPr>
              <w:t>No</w:t>
            </w:r>
            <w:r>
              <w:rPr>
                <w:rFonts w:hint="eastAsia"/>
              </w:rPr>
              <w:t>​</w:t>
            </w:r>
          </w:p>
        </w:tc>
        <w:tc>
          <w:tcPr>
            <w:tcW w:w="6305" w:type="dxa"/>
            <w:gridSpan w:val="2"/>
            <w:shd w:val="clear" w:color="auto" w:fill="FFFFFF"/>
            <w:noWrap w:val="0"/>
            <w:vAlign w:val="top"/>
          </w:tcPr>
          <w:p w14:paraId="3A94136C">
            <w:pPr>
              <w:rPr>
                <w:rFonts w:hint="eastAsia"/>
              </w:rPr>
            </w:pPr>
          </w:p>
        </w:tc>
      </w:tr>
      <w:tr w14:paraId="13D6810C">
        <w:tc>
          <w:tcPr>
            <w:tcW w:w="8495" w:type="dxa"/>
            <w:gridSpan w:val="3"/>
            <w:shd w:val="clear" w:color="auto" w:fill="FFFFFF"/>
            <w:noWrap w:val="0"/>
            <w:tcMar>
              <w:top w:w="0" w:type="dxa"/>
              <w:left w:w="108" w:type="dxa"/>
              <w:bottom w:w="0" w:type="dxa"/>
              <w:right w:w="108" w:type="dxa"/>
            </w:tcMar>
            <w:vAlign w:val="top"/>
          </w:tcPr>
          <w:p w14:paraId="4E7DBC6E">
            <w:pPr>
              <w:jc w:val="left"/>
              <w:rPr>
                <w:b/>
              </w:rPr>
            </w:pPr>
            <w:r>
              <w:rPr>
                <w:b/>
              </w:rPr>
              <w:t>5. Other Information</w:t>
            </w:r>
          </w:p>
          <w:p w14:paraId="2E48ABF6">
            <w:pPr>
              <w:rPr>
                <w:rFonts w:hint="eastAsia" w:ascii="MS Gothic" w:hAnsi="MS Gothic"/>
              </w:rPr>
            </w:pPr>
            <w:r>
              <w:rPr>
                <w:rFonts w:hint="eastAsia" w:ascii="MS Gothic" w:hAnsi="MS Gothic"/>
              </w:rPr>
              <w:t>Any information you deem necessary that is not covered in the information above</w:t>
            </w:r>
          </w:p>
        </w:tc>
      </w:tr>
      <w:tr w14:paraId="564265C7">
        <w:tc>
          <w:tcPr>
            <w:tcW w:w="8495" w:type="dxa"/>
            <w:gridSpan w:val="3"/>
            <w:shd w:val="clear" w:color="auto" w:fill="FFFFFF"/>
            <w:noWrap w:val="0"/>
            <w:tcMar>
              <w:top w:w="0" w:type="dxa"/>
              <w:left w:w="108" w:type="dxa"/>
              <w:bottom w:w="0" w:type="dxa"/>
              <w:right w:w="108" w:type="dxa"/>
            </w:tcMar>
            <w:vAlign w:val="top"/>
          </w:tcPr>
          <w:p w14:paraId="7DECF47D">
            <w:pPr>
              <w:rPr>
                <w:rFonts w:hint="eastAsia" w:ascii="MS Gothic" w:hAnsi="MS Gothic"/>
              </w:rPr>
            </w:pPr>
          </w:p>
        </w:tc>
      </w:tr>
    </w:tbl>
    <w:p w14:paraId="58158E67">
      <w:pPr>
        <w:pStyle w:val="6"/>
        <w:shd w:val="clear" w:color="auto" w:fill="FFFFFF"/>
        <w:spacing w:before="0" w:beforeAutospacing="0" w:after="188" w:afterAutospacing="0" w:line="360" w:lineRule="auto"/>
        <w:rPr>
          <w:rFonts w:ascii="Segoe UI" w:hAnsi="Segoe UI" w:cs="Segoe UI"/>
          <w:color w:val="000000"/>
        </w:rPr>
      </w:pPr>
    </w:p>
    <w:p w14:paraId="26E497AB">
      <w:pPr>
        <w:pStyle w:val="6"/>
        <w:shd w:val="clear" w:color="auto" w:fill="FFFFFF"/>
        <w:spacing w:before="0" w:beforeAutospacing="0" w:after="188" w:afterAutospacing="0" w:line="360" w:lineRule="auto"/>
        <w:rPr>
          <w:rFonts w:ascii="Segoe UI" w:hAnsi="Segoe UI" w:cs="Segoe UI"/>
          <w:color w:val="000000"/>
        </w:rPr>
      </w:pPr>
    </w:p>
    <w:p w14:paraId="522F7F15">
      <w:pPr>
        <w:pStyle w:val="6"/>
        <w:shd w:val="clear" w:color="auto" w:fill="FFFFFF"/>
        <w:spacing w:before="0" w:beforeAutospacing="0" w:after="188" w:afterAutospacing="0" w:line="360" w:lineRule="auto"/>
        <w:rPr>
          <w:rFonts w:ascii="MS Gothic" w:hAnsi="MS Gothic" w:eastAsia="宋体" w:cs="Times New Roman"/>
          <w:kern w:val="2"/>
          <w:sz w:val="21"/>
          <w:szCs w:val="22"/>
        </w:rPr>
      </w:pPr>
      <w:r>
        <w:rPr>
          <w:rFonts w:ascii="MS Gothic" w:hAnsi="MS Gothic" w:eastAsia="宋体" w:cs="Times New Roman"/>
          <w:kern w:val="2"/>
          <w:sz w:val="21"/>
          <w:szCs w:val="22"/>
        </w:rPr>
        <w:t xml:space="preserve">The policy </w:t>
      </w:r>
      <w:r>
        <w:rPr>
          <w:rFonts w:hint="eastAsia" w:ascii="MS Gothic" w:hAnsi="MS Gothic" w:eastAsia="宋体" w:cs="Times New Roman"/>
          <w:kern w:val="2"/>
          <w:sz w:val="21"/>
          <w:szCs w:val="22"/>
        </w:rPr>
        <w:t xml:space="preserve">descriptions in this document </w:t>
      </w:r>
      <w:r>
        <w:rPr>
          <w:rFonts w:ascii="MS Gothic" w:hAnsi="MS Gothic" w:eastAsia="宋体" w:cs="Times New Roman"/>
          <w:kern w:val="2"/>
          <w:sz w:val="21"/>
          <w:szCs w:val="22"/>
        </w:rPr>
        <w:t xml:space="preserve">do not constitute </w:t>
      </w:r>
      <w:r>
        <w:rPr>
          <w:rFonts w:hint="eastAsia" w:ascii="MS Gothic" w:hAnsi="MS Gothic" w:eastAsia="宋体" w:cs="Times New Roman"/>
          <w:kern w:val="2"/>
          <w:sz w:val="21"/>
          <w:szCs w:val="22"/>
        </w:rPr>
        <w:t xml:space="preserve">guarantees </w:t>
      </w:r>
      <w:r>
        <w:rPr>
          <w:rFonts w:ascii="MS Gothic" w:hAnsi="MS Gothic" w:eastAsia="宋体" w:cs="Times New Roman"/>
          <w:kern w:val="2"/>
          <w:sz w:val="21"/>
          <w:szCs w:val="22"/>
        </w:rPr>
        <w:t xml:space="preserve">or </w:t>
      </w:r>
      <w:r>
        <w:rPr>
          <w:rFonts w:hint="eastAsia" w:ascii="MS Gothic" w:hAnsi="MS Gothic" w:eastAsia="宋体" w:cs="Times New Roman"/>
          <w:kern w:val="2"/>
          <w:sz w:val="21"/>
          <w:szCs w:val="22"/>
        </w:rPr>
        <w:t xml:space="preserve">commitments, </w:t>
      </w:r>
      <w:r>
        <w:rPr>
          <w:rFonts w:hint="eastAsia" w:ascii="MS Gothic" w:hAnsi="MS Gothic" w:eastAsia="宋体" w:cs="Times New Roman"/>
          <w:kern w:val="2"/>
          <w:sz w:val="21"/>
          <w:szCs w:val="22"/>
          <w:lang w:eastAsia="zh-CN"/>
        </w:rPr>
        <w:t xml:space="preserve">and MAXHUB </w:t>
      </w:r>
      <w:r>
        <w:rPr>
          <w:rFonts w:hint="eastAsia" w:ascii="MS Gothic" w:hAnsi="MS Gothic" w:eastAsia="宋体" w:cs="Times New Roman"/>
          <w:kern w:val="2"/>
          <w:sz w:val="21"/>
          <w:szCs w:val="22"/>
        </w:rPr>
        <w:t xml:space="preserve">may adjust the above policies at its discretion. Users assume all risks when using the information in this document or the materials linked in this document. </w:t>
      </w:r>
      <w:r>
        <w:rPr>
          <w:rFonts w:hint="eastAsia" w:ascii="MS Gothic" w:hAnsi="MS Gothic" w:eastAsia="宋体" w:cs="Times New Roman"/>
          <w:kern w:val="2"/>
          <w:sz w:val="21"/>
          <w:szCs w:val="22"/>
          <w:lang w:eastAsia="zh-CN"/>
        </w:rPr>
        <w:t xml:space="preserve">MAXHUB </w:t>
      </w:r>
      <w:r>
        <w:rPr>
          <w:rFonts w:hint="eastAsia" w:ascii="MS Gothic" w:hAnsi="MS Gothic" w:eastAsia="宋体" w:cs="Times New Roman"/>
          <w:kern w:val="2"/>
          <w:sz w:val="21"/>
          <w:szCs w:val="22"/>
        </w:rPr>
        <w:t xml:space="preserve">reserves the right to change or update this document at any time, and we will update this policy statement </w:t>
      </w:r>
      <w:r>
        <w:rPr>
          <w:rFonts w:ascii="MS Gothic" w:hAnsi="MS Gothic" w:eastAsia="宋体" w:cs="Times New Roman"/>
          <w:kern w:val="2"/>
          <w:sz w:val="21"/>
          <w:szCs w:val="22"/>
        </w:rPr>
        <w:t>as necessary to increase transparency or respond more proactively.</w:t>
      </w:r>
    </w:p>
    <w:p w14:paraId="34CE9340"/>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2010600030101010101"/>
    <w:charset w:val="86"/>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微软雅黑">
    <w:altName w:val="汉仪旗黑"/>
    <w:panose1 w:val="020B0503020204020204"/>
    <w:charset w:val="00"/>
    <w:family w:val="auto"/>
    <w:pitch w:val="default"/>
    <w:sig w:usb0="00000000" w:usb1="00000000" w:usb2="00000016" w:usb3="00000000" w:csb0="0004001F" w:csb1="00000000"/>
  </w:font>
  <w:font w:name="MS Gothic">
    <w:altName w:val="苹方-简"/>
    <w:panose1 w:val="020B0609070205080204"/>
    <w:charset w:val="00"/>
    <w:family w:val="modern"/>
    <w:pitch w:val="default"/>
    <w:sig w:usb0="00000000" w:usb1="00000000" w:usb2="08000012" w:usb3="00000000" w:csb0="4002009F" w:csb1="DFD70000"/>
  </w:font>
  <w:font w:name="Segoe UI">
    <w:altName w:val="苹方-简"/>
    <w:panose1 w:val="020B0502040204020203"/>
    <w:charset w:val="00"/>
    <w:family w:val="swiss"/>
    <w:pitch w:val="default"/>
    <w:sig w:usb0="00000000" w:usb1="00000000" w:usb2="00000009" w:usb3="00000000" w:csb0="200001FF" w:csb1="00000000"/>
  </w:font>
  <w:font w:name="汉仪书宋二KW">
    <w:panose1 w:val="00020600040101010101"/>
    <w:charset w:val="86"/>
    <w:family w:val="auto"/>
    <w:pitch w:val="default"/>
    <w:sig w:usb0="A00002BF" w:usb1="18EF7CFA" w:usb2="00000016" w:usb3="00000000" w:csb0="00040000" w:csb1="00000000"/>
  </w:font>
  <w:font w:name="汉仪旗黑">
    <w:panose1 w:val="00020600040101010101"/>
    <w:charset w:val="86"/>
    <w:family w:val="auto"/>
    <w:pitch w:val="default"/>
    <w:sig w:usb0="A00002BF" w:usb1="1ACF7CFA" w:usb2="00000016" w:usb3="00000000" w:csb0="0004009F" w:csb1="DFD7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苹方-简">
    <w:panose1 w:val="020B0400000000000000"/>
    <w:charset w:val="86"/>
    <w:family w:val="auto"/>
    <w:pitch w:val="default"/>
    <w:sig w:usb0="A00002FF" w:usb1="7ACFFDFB" w:usb2="00000017" w:usb3="00000000" w:csb0="00040001" w:csb1="00000000"/>
  </w:font>
  <w:font w:name="Arial Unicode MS">
    <w:panose1 w:val="020B0604020202020204"/>
    <w:charset w:val="86"/>
    <w:family w:val="auto"/>
    <w:pitch w:val="default"/>
    <w:sig w:usb0="FFFFFFFF" w:usb1="E9FFFFFF" w:usb2="0000003F" w:usb3="00000000" w:csb0="603F01FF" w:csb1="FFFF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Arial Regular">
    <w:panose1 w:val="020B0604020202090204"/>
    <w:charset w:val="00"/>
    <w:family w:val="auto"/>
    <w:pitch w:val="default"/>
    <w:sig w:usb0="E0000AFF" w:usb1="00007843" w:usb2="00000001" w:usb3="00000000" w:csb0="400001BF" w:csb1="DF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4YjQ5MzE1ZTY1MjI5N2MyNzFkMjU3M2I4NzMxZjYifQ=="/>
  </w:docVars>
  <w:rsids>
    <w:rsidRoot w:val="00000000"/>
    <w:rsid w:val="00A62D57"/>
    <w:rsid w:val="0BFF88A5"/>
    <w:rsid w:val="0CBE629A"/>
    <w:rsid w:val="11A555A8"/>
    <w:rsid w:val="3C6D437E"/>
    <w:rsid w:val="43541D59"/>
    <w:rsid w:val="5C396934"/>
    <w:rsid w:val="6029398E"/>
    <w:rsid w:val="652673D0"/>
    <w:rsid w:val="6A95501C"/>
    <w:rsid w:val="718D2A21"/>
    <w:rsid w:val="77D7C6FE"/>
    <w:rsid w:val="787B0938"/>
    <w:rsid w:val="7AF4B19F"/>
    <w:rsid w:val="9EB972D7"/>
    <w:rsid w:val="9FC23F02"/>
    <w:rsid w:val="CB7B821B"/>
    <w:rsid w:val="FDFD96D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 w:eastAsia="zh-CN" w:bidi="ar"/>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 w:eastAsia="zh-CN" w:bidi="ar"/>
    </w:rPr>
  </w:style>
  <w:style w:type="paragraph" w:styleId="4">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bCs/>
      <w:kern w:val="0"/>
      <w:sz w:val="24"/>
      <w:szCs w:val="24"/>
      <w:lang w:val="en" w:eastAsia="zh-CN" w:bidi="ar"/>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annotation text"/>
    <w:basedOn w:val="1"/>
    <w:uiPriority w:val="0"/>
    <w:pPr>
      <w:jc w:val="left"/>
    </w:pPr>
  </w:style>
  <w:style w:type="paragraph" w:styleId="6">
    <w:name w:val="Normal (Web)"/>
    <w:basedOn w:val="1"/>
    <w:uiPriority w:val="0"/>
    <w:pPr>
      <w:spacing w:before="100" w:beforeAutospacing="1" w:after="100" w:afterAutospacing="1"/>
      <w:ind w:left="0" w:right="0"/>
      <w:jc w:val="left"/>
    </w:pPr>
    <w:rPr>
      <w:kern w:val="0"/>
      <w:sz w:val="24"/>
      <w:lang w:val="en" w:eastAsia="zh-CN" w:bidi="ar"/>
    </w:rPr>
  </w:style>
  <w:style w:type="character" w:styleId="9">
    <w:name w:val="Strong"/>
    <w:basedOn w:val="8"/>
    <w:qFormat/>
    <w:uiPriority w:val="0"/>
    <w:rPr>
      <w:b/>
    </w:rPr>
  </w:style>
  <w:style w:type="character" w:styleId="10">
    <w:name w:val="Hyperlink"/>
    <w:basedOn w:val="8"/>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13</TotalTime>
  <ScaleCrop>false</ScaleCrop>
  <LinksUpToDate>false</LinksUpToDate>
  <CharactersWithSpaces>0</CharactersWithSpaces>
  <Application>WPS Office_12.1.22522.22522_F1E327BC-269C-435d-A152-05C5408002CA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2026-07-18T06:09:00Z</dcterms:created>
  <dc:creator>Lenovo</dc:creator>
  <cp:lastModifiedBy>麦增荣</cp:lastModifiedBy>
  <dcterms:modified xsi:type="dcterms:W3CDTF">2026-07-31T10:19:14Z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2052-12.1.22522.22522</vt:lpwstr>
  </property>
  <property fmtid="{D5CDD505-2E9C-101B-9397-08002B2CF9AE}" pid="3" name="ICV">
    <vt:lpwstr>7A61F10E8DCA7E1A07046C6ABE256AF5_43</vt:lpwstr>
  </property>
</Properties>
</file>